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19" w:rsidRDefault="00D7600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英国</w:t>
      </w:r>
      <w:r w:rsidR="008C4795" w:rsidRPr="00430949">
        <w:rPr>
          <w:rFonts w:ascii="方正小标宋简体" w:eastAsia="方正小标宋简体" w:hint="eastAsia"/>
          <w:sz w:val="44"/>
          <w:szCs w:val="44"/>
        </w:rPr>
        <w:t>ATA单证册实施规定</w:t>
      </w:r>
    </w:p>
    <w:p w:rsidR="00F2799E" w:rsidRPr="007F4536" w:rsidRDefault="00F2799E">
      <w:pPr>
        <w:jc w:val="center"/>
        <w:rPr>
          <w:rFonts w:ascii="方正小标宋简体" w:eastAsia="方正小标宋简体"/>
          <w:sz w:val="44"/>
          <w:szCs w:val="44"/>
        </w:rPr>
      </w:pPr>
      <w:r w:rsidRPr="007F4536">
        <w:rPr>
          <w:rFonts w:ascii="方正小标宋简体" w:eastAsia="方正小标宋简体" w:hint="eastAsia"/>
          <w:sz w:val="44"/>
          <w:szCs w:val="44"/>
        </w:rPr>
        <w:t>（2022年</w:t>
      </w:r>
      <w:r w:rsidR="00D7600E">
        <w:rPr>
          <w:rFonts w:ascii="方正小标宋简体" w:eastAsia="方正小标宋简体" w:hint="eastAsia"/>
          <w:sz w:val="44"/>
          <w:szCs w:val="44"/>
        </w:rPr>
        <w:t>9</w:t>
      </w:r>
      <w:r w:rsidRPr="007F4536">
        <w:rPr>
          <w:rFonts w:ascii="方正小标宋简体" w:eastAsia="方正小标宋简体" w:hint="eastAsia"/>
          <w:sz w:val="44"/>
          <w:szCs w:val="44"/>
        </w:rPr>
        <w:t>月版）</w:t>
      </w:r>
    </w:p>
    <w:p w:rsidR="00827819" w:rsidRPr="00430949" w:rsidRDefault="00827819">
      <w:pPr>
        <w:jc w:val="right"/>
        <w:rPr>
          <w:sz w:val="36"/>
          <w:szCs w:val="36"/>
        </w:rPr>
      </w:pPr>
    </w:p>
    <w:p w:rsidR="00E50212" w:rsidRDefault="00E50212" w:rsidP="00D7600E">
      <w:pPr>
        <w:numPr>
          <w:ilvl w:val="0"/>
          <w:numId w:val="1"/>
        </w:numPr>
        <w:tabs>
          <w:tab w:val="num" w:pos="42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担保协会：伦敦工商会</w:t>
      </w:r>
    </w:p>
    <w:p w:rsidR="00D7600E" w:rsidRPr="00D7600E" w:rsidRDefault="00D7600E" w:rsidP="00D7600E">
      <w:pPr>
        <w:numPr>
          <w:ilvl w:val="0"/>
          <w:numId w:val="1"/>
        </w:numPr>
        <w:tabs>
          <w:tab w:val="num" w:pos="420"/>
        </w:tabs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>实施时间：1963年7月19日</w:t>
      </w:r>
    </w:p>
    <w:p w:rsidR="00D7600E" w:rsidRPr="00D7600E" w:rsidRDefault="00D7600E" w:rsidP="00D7600E">
      <w:pPr>
        <w:numPr>
          <w:ilvl w:val="0"/>
          <w:numId w:val="1"/>
        </w:numPr>
        <w:tabs>
          <w:tab w:val="num" w:pos="420"/>
        </w:tabs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>实施范围：ATA公约</w:t>
      </w:r>
    </w:p>
    <w:p w:rsidR="00D7600E" w:rsidRPr="00D7600E" w:rsidRDefault="00D7600E" w:rsidP="00D7600E">
      <w:pPr>
        <w:ind w:firstLineChars="642" w:firstLine="2054"/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>专业设备公约</w:t>
      </w:r>
    </w:p>
    <w:p w:rsidR="00D7600E" w:rsidRPr="00D7600E" w:rsidRDefault="00D7600E" w:rsidP="00D7600E">
      <w:pPr>
        <w:ind w:firstLineChars="642" w:firstLine="2054"/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>展览会和交易会公约</w:t>
      </w:r>
    </w:p>
    <w:p w:rsidR="00D7600E" w:rsidRPr="00D7600E" w:rsidRDefault="00D7600E" w:rsidP="00D7600E">
      <w:pPr>
        <w:ind w:firstLineChars="642" w:firstLine="2054"/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Ansi="宋体" w:hint="eastAsia"/>
          <w:sz w:val="32"/>
          <w:szCs w:val="32"/>
        </w:rPr>
        <w:t>商业样品公约</w:t>
      </w:r>
      <w:r w:rsidRPr="00D7600E">
        <w:rPr>
          <w:rFonts w:ascii="仿宋_GB2312" w:eastAsia="仿宋_GB2312" w:hint="eastAsia"/>
          <w:sz w:val="32"/>
          <w:szCs w:val="32"/>
        </w:rPr>
        <w:t xml:space="preserve"> </w:t>
      </w:r>
    </w:p>
    <w:p w:rsidR="00D7600E" w:rsidRPr="00D7600E" w:rsidRDefault="00D7600E" w:rsidP="00D7600E">
      <w:pPr>
        <w:ind w:firstLineChars="642" w:firstLine="2054"/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>科学设备公约</w:t>
      </w:r>
    </w:p>
    <w:p w:rsidR="00D7600E" w:rsidRPr="00D7600E" w:rsidRDefault="00D7600E" w:rsidP="00D7600E">
      <w:pPr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 xml:space="preserve">             伊斯坦布尔公约及其全部附约</w:t>
      </w:r>
    </w:p>
    <w:p w:rsidR="00D7600E" w:rsidRPr="00D7600E" w:rsidRDefault="00D7600E" w:rsidP="00D7600E">
      <w:pPr>
        <w:numPr>
          <w:ilvl w:val="0"/>
          <w:numId w:val="1"/>
        </w:numPr>
        <w:tabs>
          <w:tab w:val="clear" w:pos="420"/>
          <w:tab w:val="num" w:pos="360"/>
        </w:tabs>
        <w:ind w:left="1800" w:hanging="1800"/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>实施区域：关境范围</w:t>
      </w:r>
      <w:r w:rsidR="00E15B67">
        <w:rPr>
          <w:rFonts w:ascii="仿宋_GB2312" w:eastAsia="仿宋_GB2312" w:hint="eastAsia"/>
          <w:sz w:val="32"/>
          <w:szCs w:val="32"/>
        </w:rPr>
        <w:t>，包括根西岛、马恩岛和泽西岛</w:t>
      </w:r>
    </w:p>
    <w:p w:rsidR="00D7600E" w:rsidRPr="00D7600E" w:rsidRDefault="00D7600E" w:rsidP="00D7600E">
      <w:pPr>
        <w:numPr>
          <w:ilvl w:val="0"/>
          <w:numId w:val="1"/>
        </w:numPr>
        <w:tabs>
          <w:tab w:val="num" w:pos="420"/>
        </w:tabs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>其他规定：</w:t>
      </w:r>
      <w:r w:rsidRPr="00D7600E">
        <w:rPr>
          <w:rFonts w:ascii="仿宋_GB2312" w:eastAsia="仿宋_GB2312" w:hint="eastAsia"/>
          <w:b/>
          <w:sz w:val="32"/>
          <w:szCs w:val="32"/>
          <w:u w:val="single"/>
        </w:rPr>
        <w:t>不接受</w:t>
      </w:r>
      <w:r w:rsidRPr="00D7600E">
        <w:rPr>
          <w:rFonts w:ascii="仿宋_GB2312" w:eastAsia="仿宋_GB2312" w:hint="eastAsia"/>
          <w:sz w:val="32"/>
          <w:szCs w:val="32"/>
        </w:rPr>
        <w:t>邮运</w:t>
      </w:r>
    </w:p>
    <w:p w:rsidR="00D7600E" w:rsidRPr="00D7600E" w:rsidRDefault="00D7600E" w:rsidP="00D7600E">
      <w:pPr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 xml:space="preserve">             </w:t>
      </w:r>
      <w:r w:rsidRPr="00D7600E">
        <w:rPr>
          <w:rFonts w:ascii="仿宋_GB2312" w:eastAsia="仿宋_GB2312" w:hint="eastAsia"/>
          <w:b/>
          <w:sz w:val="32"/>
          <w:szCs w:val="32"/>
          <w:u w:val="single"/>
        </w:rPr>
        <w:t>接受</w:t>
      </w:r>
      <w:r w:rsidRPr="00D7600E">
        <w:rPr>
          <w:rFonts w:ascii="仿宋_GB2312" w:eastAsia="仿宋_GB2312" w:hint="eastAsia"/>
          <w:sz w:val="32"/>
          <w:szCs w:val="32"/>
        </w:rPr>
        <w:t>过境</w:t>
      </w:r>
    </w:p>
    <w:p w:rsidR="00D7600E" w:rsidRPr="00D7600E" w:rsidRDefault="00D7600E" w:rsidP="00D7600E">
      <w:pPr>
        <w:numPr>
          <w:ilvl w:val="0"/>
          <w:numId w:val="1"/>
        </w:numPr>
        <w:tabs>
          <w:tab w:val="clear" w:pos="420"/>
          <w:tab w:val="num" w:pos="360"/>
        </w:tabs>
        <w:ind w:left="1800" w:hanging="1800"/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>语言要求：英文</w:t>
      </w:r>
    </w:p>
    <w:p w:rsidR="00D7600E" w:rsidRDefault="00D7600E" w:rsidP="00D7600E">
      <w:pPr>
        <w:numPr>
          <w:ilvl w:val="0"/>
          <w:numId w:val="1"/>
        </w:numPr>
        <w:tabs>
          <w:tab w:val="clear" w:pos="420"/>
          <w:tab w:val="num" w:pos="360"/>
        </w:tabs>
        <w:ind w:left="1800" w:hanging="1800"/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>续签单证：接受续签单证册</w:t>
      </w:r>
      <w:r w:rsidR="00C108A1">
        <w:rPr>
          <w:rFonts w:ascii="仿宋_GB2312" w:eastAsia="仿宋_GB2312" w:hint="eastAsia"/>
          <w:sz w:val="32"/>
          <w:szCs w:val="32"/>
        </w:rPr>
        <w:t>；</w:t>
      </w:r>
    </w:p>
    <w:p w:rsidR="006120FA" w:rsidRDefault="00C108A1" w:rsidP="00C108A1">
      <w:pPr>
        <w:tabs>
          <w:tab w:val="left" w:pos="420"/>
        </w:tabs>
        <w:ind w:left="1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持证人须在原ATA单证册到期前，获得英国海</w:t>
      </w:r>
      <w:r w:rsidR="00F764F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关对于暂准进境期限延长及续签单证册启用的许可</w:t>
      </w:r>
      <w:r w:rsidR="006120FA">
        <w:rPr>
          <w:rFonts w:ascii="仿宋_GB2312" w:eastAsia="仿宋_GB2312" w:hint="eastAsia"/>
          <w:sz w:val="32"/>
          <w:szCs w:val="32"/>
        </w:rPr>
        <w:t>。</w:t>
      </w:r>
    </w:p>
    <w:p w:rsidR="00C108A1" w:rsidRPr="006120FA" w:rsidRDefault="00C108A1" w:rsidP="00C108A1">
      <w:pPr>
        <w:tabs>
          <w:tab w:val="left" w:pos="420"/>
        </w:tabs>
        <w:ind w:left="1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英国海关邮箱为</w:t>
      </w:r>
      <w:r w:rsidRPr="006120FA">
        <w:rPr>
          <w:rFonts w:ascii="Times New Roman" w:hAnsi="Times New Roman" w:cs="Times New Roman"/>
          <w:color w:val="333333"/>
          <w:sz w:val="32"/>
          <w:szCs w:val="20"/>
          <w:shd w:val="clear" w:color="auto" w:fill="FFFFFF"/>
        </w:rPr>
        <w:t>atacarnetunit@hmrc.gsi.gov.uk</w:t>
      </w:r>
    </w:p>
    <w:p w:rsidR="00D7600E" w:rsidRPr="00D7600E" w:rsidRDefault="00D7600E" w:rsidP="00D7600E">
      <w:pPr>
        <w:numPr>
          <w:ilvl w:val="0"/>
          <w:numId w:val="1"/>
        </w:numPr>
        <w:tabs>
          <w:tab w:val="num" w:pos="420"/>
        </w:tabs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>调 整 费：无</w:t>
      </w:r>
    </w:p>
    <w:p w:rsidR="00F764F4" w:rsidRPr="00F764F4" w:rsidRDefault="00D7600E" w:rsidP="00D7600E">
      <w:pPr>
        <w:numPr>
          <w:ilvl w:val="0"/>
          <w:numId w:val="1"/>
        </w:numPr>
        <w:tabs>
          <w:tab w:val="num" w:pos="420"/>
        </w:tabs>
        <w:ind w:left="1843" w:hanging="1843"/>
        <w:rPr>
          <w:rFonts w:ascii="仿宋_GB2312" w:eastAsia="仿宋_GB2312"/>
          <w:color w:val="FF0000"/>
          <w:sz w:val="32"/>
          <w:szCs w:val="32"/>
        </w:rPr>
      </w:pPr>
      <w:r w:rsidRPr="00D7600E">
        <w:rPr>
          <w:rFonts w:ascii="仿宋_GB2312" w:eastAsia="仿宋_GB2312" w:hAnsi="宋体" w:hint="eastAsia"/>
          <w:sz w:val="32"/>
          <w:szCs w:val="32"/>
        </w:rPr>
        <w:lastRenderedPageBreak/>
        <w:t>口岸限制：</w:t>
      </w:r>
      <w:r w:rsidR="00F764F4">
        <w:rPr>
          <w:rFonts w:ascii="仿宋_GB2312" w:eastAsia="仿宋_GB2312" w:hAnsi="宋体" w:hint="eastAsia"/>
          <w:sz w:val="32"/>
          <w:szCs w:val="32"/>
        </w:rPr>
        <w:t>（1）</w:t>
      </w:r>
      <w:r w:rsidR="00F764F4">
        <w:rPr>
          <w:rFonts w:ascii="仿宋_GB2312" w:eastAsia="仿宋_GB2312" w:hint="eastAsia"/>
          <w:sz w:val="32"/>
          <w:szCs w:val="32"/>
        </w:rPr>
        <w:t>所有提供货物、旅客、行李清关措施的</w:t>
      </w:r>
      <w:r w:rsidRPr="00D7600E">
        <w:rPr>
          <w:rFonts w:ascii="仿宋_GB2312" w:eastAsia="仿宋_GB2312" w:hint="eastAsia"/>
          <w:sz w:val="32"/>
          <w:szCs w:val="32"/>
        </w:rPr>
        <w:t>口岸、机场均可接受ATA单证册报关。清关程序将在所涉及的港口和机场的正常工作时间内进行。</w:t>
      </w:r>
    </w:p>
    <w:p w:rsidR="00D7600E" w:rsidRDefault="00F764F4" w:rsidP="00F764F4">
      <w:pPr>
        <w:tabs>
          <w:tab w:val="left" w:pos="420"/>
        </w:tabs>
        <w:ind w:left="18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D7600E" w:rsidRPr="00D7600E">
        <w:rPr>
          <w:rFonts w:ascii="仿宋_GB2312" w:eastAsia="仿宋_GB2312" w:hint="eastAsia"/>
          <w:color w:val="000000"/>
          <w:sz w:val="32"/>
          <w:szCs w:val="32"/>
        </w:rPr>
        <w:t>爱尔兰</w:t>
      </w:r>
      <w:r>
        <w:rPr>
          <w:rFonts w:ascii="仿宋_GB2312" w:eastAsia="仿宋_GB2312" w:hint="eastAsia"/>
          <w:color w:val="000000"/>
          <w:sz w:val="32"/>
          <w:szCs w:val="32"/>
        </w:rPr>
        <w:t>共和国</w:t>
      </w:r>
      <w:r w:rsidR="00D7600E" w:rsidRPr="00D7600E">
        <w:rPr>
          <w:rFonts w:ascii="仿宋_GB2312" w:eastAsia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hint="eastAsia"/>
          <w:color w:val="000000"/>
          <w:sz w:val="32"/>
          <w:szCs w:val="32"/>
        </w:rPr>
        <w:t>英国</w:t>
      </w:r>
      <w:r w:rsidR="00D7600E" w:rsidRPr="00D7600E">
        <w:rPr>
          <w:rFonts w:ascii="仿宋_GB2312" w:eastAsia="仿宋_GB2312" w:hint="eastAsia"/>
          <w:color w:val="000000"/>
          <w:sz w:val="32"/>
          <w:szCs w:val="32"/>
        </w:rPr>
        <w:t>北爱尔兰</w:t>
      </w:r>
      <w:r>
        <w:rPr>
          <w:rFonts w:ascii="仿宋_GB2312" w:eastAsia="仿宋_GB2312" w:hint="eastAsia"/>
          <w:color w:val="000000"/>
          <w:sz w:val="32"/>
          <w:szCs w:val="32"/>
        </w:rPr>
        <w:t>地区</w:t>
      </w:r>
      <w:r w:rsidR="00D7600E" w:rsidRPr="00D7600E">
        <w:rPr>
          <w:rFonts w:ascii="仿宋_GB2312" w:eastAsia="仿宋_GB2312" w:hint="eastAsia"/>
          <w:color w:val="000000"/>
          <w:sz w:val="32"/>
          <w:szCs w:val="32"/>
        </w:rPr>
        <w:t>之间</w:t>
      </w:r>
      <w:r>
        <w:rPr>
          <w:rFonts w:ascii="仿宋_GB2312" w:eastAsia="仿宋_GB2312" w:hint="eastAsia"/>
          <w:color w:val="000000"/>
          <w:sz w:val="32"/>
          <w:szCs w:val="32"/>
        </w:rPr>
        <w:t>陆地口岸开放时间为09:00-17:00。经由北爱尔兰进入或离开英国的ATA单证册项下货物，需主动向北爱尔兰海关口岸出示ATA单证册，进行海关申报。</w:t>
      </w:r>
    </w:p>
    <w:p w:rsidR="00267D29" w:rsidRDefault="009424FB" w:rsidP="00F764F4">
      <w:pPr>
        <w:tabs>
          <w:tab w:val="left" w:pos="420"/>
        </w:tabs>
        <w:ind w:left="18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（3）多佛港（</w:t>
      </w:r>
      <w:r w:rsidRPr="001E69AA">
        <w:rPr>
          <w:rFonts w:ascii="Times New Roman" w:hAnsi="Times New Roman" w:cs="Times New Roman"/>
          <w:color w:val="333333"/>
          <w:sz w:val="32"/>
          <w:szCs w:val="20"/>
          <w:shd w:val="clear" w:color="auto" w:fill="FFFFFF"/>
        </w:rPr>
        <w:t>Dover</w:t>
      </w:r>
      <w:r>
        <w:rPr>
          <w:rFonts w:ascii="仿宋_GB2312" w:eastAsia="仿宋_GB2312" w:hint="eastAsia"/>
          <w:color w:val="000000"/>
          <w:sz w:val="32"/>
          <w:szCs w:val="32"/>
        </w:rPr>
        <w:t>）、欧洲隧道（</w:t>
      </w:r>
      <w:r w:rsidRPr="001E69AA">
        <w:rPr>
          <w:rFonts w:ascii="Times New Roman" w:hAnsi="Times New Roman" w:cs="Times New Roman"/>
          <w:color w:val="333333"/>
          <w:sz w:val="32"/>
          <w:szCs w:val="20"/>
          <w:shd w:val="clear" w:color="auto" w:fill="FFFFFF"/>
        </w:rPr>
        <w:t>Euroshuttle</w:t>
      </w:r>
      <w:r>
        <w:rPr>
          <w:rFonts w:ascii="仿宋_GB2312" w:eastAsia="仿宋_GB2312" w:hint="eastAsia"/>
          <w:color w:val="000000"/>
          <w:sz w:val="32"/>
          <w:szCs w:val="32"/>
        </w:rPr>
        <w:t>）和霍利希德（</w:t>
      </w:r>
      <w:r w:rsidRPr="001E69AA">
        <w:rPr>
          <w:rFonts w:ascii="Times New Roman" w:hAnsi="Times New Roman" w:cs="Times New Roman"/>
          <w:color w:val="333333"/>
          <w:sz w:val="32"/>
          <w:szCs w:val="20"/>
          <w:shd w:val="clear" w:color="auto" w:fill="FFFFFF"/>
        </w:rPr>
        <w:t>Holyhead</w:t>
      </w:r>
      <w:r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267D29">
        <w:rPr>
          <w:rFonts w:ascii="仿宋_GB2312" w:eastAsia="仿宋_GB2312" w:hint="eastAsia"/>
          <w:color w:val="000000"/>
          <w:sz w:val="32"/>
          <w:szCs w:val="32"/>
        </w:rPr>
        <w:t>三个口岸将不再受理使用ATA单证册通关，持证人需前往英国内陆口岸进行海关申报。具体操作指南，详见如下链接：</w:t>
      </w:r>
    </w:p>
    <w:p w:rsidR="009424FB" w:rsidRDefault="00267D29" w:rsidP="00F764F4">
      <w:pPr>
        <w:tabs>
          <w:tab w:val="left" w:pos="420"/>
        </w:tabs>
        <w:ind w:left="18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67D29">
        <w:rPr>
          <w:rFonts w:ascii="Times New Roman" w:eastAsia="仿宋_GB2312" w:hAnsi="Times New Roman" w:cs="Times New Roman"/>
          <w:color w:val="000000"/>
          <w:sz w:val="32"/>
          <w:szCs w:val="32"/>
        </w:rPr>
        <w:t>https://www.gov.uk/government/publications/attending-an-inland-border-facility/attending-an-inland-border-facility</w:t>
      </w:r>
    </w:p>
    <w:p w:rsidR="00B2121A" w:rsidRPr="00B2121A" w:rsidRDefault="00B2121A" w:rsidP="00F764F4">
      <w:pPr>
        <w:tabs>
          <w:tab w:val="left" w:pos="420"/>
        </w:tabs>
        <w:ind w:left="1843"/>
        <w:rPr>
          <w:rFonts w:ascii="Times New Roman" w:eastAsia="仿宋_GB2312" w:hAnsi="Times New Roman" w:cs="Times New Roman"/>
          <w:sz w:val="32"/>
          <w:szCs w:val="32"/>
        </w:rPr>
      </w:pPr>
      <w:r w:rsidRPr="00B2121A">
        <w:rPr>
          <w:rFonts w:ascii="Times New Roman" w:eastAsia="仿宋_GB2312" w:hAnsi="Times New Roman" w:cs="Times New Roman"/>
          <w:sz w:val="32"/>
          <w:szCs w:val="32"/>
        </w:rPr>
        <w:t>https://www.gov.uk/guidance/moving-goods-through-the-port-of-dover-and-eurotunnel-with-an-ata-carnet</w:t>
      </w:r>
    </w:p>
    <w:p w:rsidR="00D7600E" w:rsidRPr="003A63C9" w:rsidRDefault="00D7600E" w:rsidP="00D7600E">
      <w:pPr>
        <w:numPr>
          <w:ilvl w:val="0"/>
          <w:numId w:val="1"/>
        </w:numPr>
        <w:tabs>
          <w:tab w:val="num" w:pos="420"/>
        </w:tabs>
        <w:rPr>
          <w:rFonts w:ascii="仿宋_GB2312" w:eastAsia="仿宋_GB2312"/>
          <w:sz w:val="32"/>
          <w:szCs w:val="32"/>
        </w:rPr>
      </w:pPr>
      <w:r w:rsidRPr="00D7600E">
        <w:rPr>
          <w:rFonts w:ascii="仿宋_GB2312" w:eastAsia="仿宋_GB2312" w:hint="eastAsia"/>
          <w:sz w:val="32"/>
          <w:szCs w:val="32"/>
        </w:rPr>
        <w:t>其他事项：</w:t>
      </w:r>
      <w:r w:rsidR="00E4580D" w:rsidRPr="00E4580D">
        <w:rPr>
          <w:rFonts w:ascii="仿宋_GB2312" w:eastAsia="仿宋_GB2312" w:hint="eastAsia"/>
          <w:b/>
          <w:sz w:val="32"/>
          <w:szCs w:val="32"/>
          <w:u w:val="single"/>
        </w:rPr>
        <w:t>对于ATA单证册货运代理的新增规定</w:t>
      </w:r>
    </w:p>
    <w:p w:rsidR="003A63C9" w:rsidRPr="003A63C9" w:rsidRDefault="003A63C9" w:rsidP="003A63C9">
      <w:pPr>
        <w:tabs>
          <w:tab w:val="left" w:pos="420"/>
        </w:tabs>
        <w:ind w:left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（</w:t>
      </w:r>
      <w:r w:rsidR="007E755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</w:t>
      </w:r>
      <w:r w:rsidR="007E755D">
        <w:rPr>
          <w:rFonts w:ascii="仿宋_GB2312" w:eastAsia="仿宋_GB2312" w:hint="eastAsia"/>
          <w:sz w:val="32"/>
          <w:szCs w:val="32"/>
        </w:rPr>
        <w:t>关于货车运输服务（</w:t>
      </w:r>
      <w:r w:rsidR="007E755D" w:rsidRPr="007E755D">
        <w:rPr>
          <w:rFonts w:ascii="Times New Roman" w:eastAsia="仿宋_GB2312" w:hAnsi="Times New Roman" w:cs="Times New Roman"/>
          <w:sz w:val="32"/>
          <w:szCs w:val="32"/>
        </w:rPr>
        <w:t xml:space="preserve">The goods vehicle </w:t>
      </w:r>
      <w:r w:rsidR="007E755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E755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ab/>
      </w:r>
      <w:r w:rsidR="007E755D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7E755D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7E755D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837F5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E755D" w:rsidRPr="007E755D">
        <w:rPr>
          <w:rFonts w:ascii="Times New Roman" w:eastAsia="仿宋_GB2312" w:hAnsi="Times New Roman" w:cs="Times New Roman"/>
          <w:sz w:val="32"/>
          <w:szCs w:val="32"/>
        </w:rPr>
        <w:t>movement service</w:t>
      </w:r>
      <w:r w:rsidR="007E755D">
        <w:rPr>
          <w:rFonts w:ascii="仿宋_GB2312" w:eastAsia="仿宋_GB2312" w:hint="eastAsia"/>
          <w:sz w:val="32"/>
          <w:szCs w:val="32"/>
        </w:rPr>
        <w:t>，以下简称“</w:t>
      </w:r>
      <w:r w:rsidR="007E755D" w:rsidRPr="00837F59">
        <w:rPr>
          <w:rFonts w:ascii="Times New Roman" w:eastAsia="仿宋_GB2312" w:hAnsi="Times New Roman" w:cs="Times New Roman"/>
          <w:sz w:val="28"/>
          <w:szCs w:val="32"/>
        </w:rPr>
        <w:t>GVMS</w:t>
      </w:r>
      <w:r w:rsidR="007E755D">
        <w:rPr>
          <w:rFonts w:ascii="仿宋_GB2312" w:eastAsia="仿宋_GB2312" w:hint="eastAsia"/>
          <w:sz w:val="32"/>
          <w:szCs w:val="32"/>
        </w:rPr>
        <w:t>”）</w:t>
      </w:r>
      <w:r w:rsidR="007E755D">
        <w:rPr>
          <w:rFonts w:ascii="仿宋_GB2312" w:eastAsia="仿宋_GB2312" w:hint="eastAsia"/>
          <w:sz w:val="32"/>
          <w:szCs w:val="32"/>
        </w:rPr>
        <w:tab/>
      </w:r>
      <w:r w:rsidR="007E755D">
        <w:rPr>
          <w:rFonts w:ascii="仿宋_GB2312" w:eastAsia="仿宋_GB2312" w:hint="eastAsia"/>
          <w:sz w:val="32"/>
          <w:szCs w:val="32"/>
        </w:rPr>
        <w:tab/>
      </w:r>
      <w:r w:rsidR="007E755D">
        <w:rPr>
          <w:rFonts w:ascii="仿宋_GB2312" w:eastAsia="仿宋_GB2312" w:hint="eastAsia"/>
          <w:sz w:val="32"/>
          <w:szCs w:val="32"/>
        </w:rPr>
        <w:tab/>
      </w:r>
      <w:r w:rsidR="007E755D">
        <w:rPr>
          <w:rFonts w:ascii="仿宋_GB2312" w:eastAsia="仿宋_GB2312" w:hint="eastAsia"/>
          <w:sz w:val="32"/>
          <w:szCs w:val="32"/>
        </w:rPr>
        <w:tab/>
      </w:r>
      <w:r w:rsidR="007E755D">
        <w:rPr>
          <w:rFonts w:ascii="仿宋_GB2312" w:eastAsia="仿宋_GB2312" w:hint="eastAsia"/>
          <w:sz w:val="32"/>
          <w:szCs w:val="32"/>
        </w:rPr>
        <w:tab/>
      </w:r>
      <w:r w:rsidR="00837F59">
        <w:rPr>
          <w:rFonts w:ascii="仿宋_GB2312" w:eastAsia="仿宋_GB2312" w:hint="eastAsia"/>
          <w:sz w:val="32"/>
          <w:szCs w:val="32"/>
        </w:rPr>
        <w:t xml:space="preserve"> </w:t>
      </w:r>
      <w:r w:rsidR="007E755D">
        <w:rPr>
          <w:rFonts w:ascii="仿宋_GB2312" w:eastAsia="仿宋_GB2312" w:hint="eastAsia"/>
          <w:sz w:val="32"/>
          <w:szCs w:val="32"/>
        </w:rPr>
        <w:t>的规定。为顺利办理清关手续，所有经口</w:t>
      </w:r>
      <w:r w:rsidR="007E755D">
        <w:rPr>
          <w:rFonts w:ascii="仿宋_GB2312" w:eastAsia="仿宋_GB2312" w:hint="eastAsia"/>
          <w:sz w:val="32"/>
          <w:szCs w:val="32"/>
        </w:rPr>
        <w:tab/>
      </w:r>
      <w:r w:rsidR="007E755D">
        <w:rPr>
          <w:rFonts w:ascii="仿宋_GB2312" w:eastAsia="仿宋_GB2312" w:hint="eastAsia"/>
          <w:sz w:val="32"/>
          <w:szCs w:val="32"/>
        </w:rPr>
        <w:tab/>
      </w:r>
      <w:r w:rsidR="007E755D">
        <w:rPr>
          <w:rFonts w:ascii="仿宋_GB2312" w:eastAsia="仿宋_GB2312" w:hint="eastAsia"/>
          <w:sz w:val="32"/>
          <w:szCs w:val="32"/>
        </w:rPr>
        <w:tab/>
      </w:r>
      <w:r w:rsidR="007E755D">
        <w:rPr>
          <w:rFonts w:ascii="仿宋_GB2312" w:eastAsia="仿宋_GB2312" w:hint="eastAsia"/>
          <w:sz w:val="32"/>
          <w:szCs w:val="32"/>
        </w:rPr>
        <w:tab/>
      </w:r>
      <w:r w:rsidR="007E755D">
        <w:rPr>
          <w:rFonts w:ascii="仿宋_GB2312" w:eastAsia="仿宋_GB2312" w:hint="eastAsia"/>
          <w:sz w:val="32"/>
          <w:szCs w:val="32"/>
        </w:rPr>
        <w:tab/>
      </w:r>
      <w:r w:rsidR="00837F59">
        <w:rPr>
          <w:rFonts w:ascii="仿宋_GB2312" w:eastAsia="仿宋_GB2312" w:hint="eastAsia"/>
          <w:sz w:val="32"/>
          <w:szCs w:val="32"/>
        </w:rPr>
        <w:t xml:space="preserve"> </w:t>
      </w:r>
      <w:r w:rsidR="007E755D">
        <w:rPr>
          <w:rFonts w:ascii="仿宋_GB2312" w:eastAsia="仿宋_GB2312" w:hint="eastAsia"/>
          <w:sz w:val="32"/>
          <w:szCs w:val="32"/>
        </w:rPr>
        <w:t>岸进入或离开英国的承运人均需办理</w:t>
      </w:r>
      <w:r w:rsidR="00837F59" w:rsidRPr="00837F59">
        <w:rPr>
          <w:rFonts w:ascii="Times New Roman" w:eastAsia="仿宋_GB2312" w:hAnsi="Times New Roman" w:cs="Times New Roman"/>
          <w:sz w:val="28"/>
          <w:szCs w:val="32"/>
        </w:rPr>
        <w:t>GVMS</w:t>
      </w:r>
      <w:r w:rsidR="007E755D">
        <w:rPr>
          <w:rFonts w:ascii="仿宋_GB2312" w:eastAsia="仿宋_GB2312" w:hint="eastAsia"/>
          <w:sz w:val="32"/>
          <w:szCs w:val="32"/>
        </w:rPr>
        <w:tab/>
      </w:r>
      <w:r w:rsidR="00837F59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837F59">
        <w:rPr>
          <w:rFonts w:ascii="Times New Roman" w:eastAsia="仿宋_GB2312" w:hAnsi="Times New Roman" w:cs="Times New Roman" w:hint="eastAsia"/>
          <w:sz w:val="32"/>
          <w:szCs w:val="32"/>
        </w:rPr>
        <w:tab/>
      </w:r>
      <w:r w:rsidR="00837F59">
        <w:rPr>
          <w:rFonts w:ascii="Times New Roman" w:eastAsia="仿宋_GB2312" w:hAnsi="Times New Roman" w:cs="Times New Roman" w:hint="eastAsia"/>
          <w:sz w:val="32"/>
          <w:szCs w:val="32"/>
        </w:rPr>
        <w:tab/>
        <w:t xml:space="preserve"> </w:t>
      </w:r>
      <w:r w:rsidR="007E755D">
        <w:rPr>
          <w:rFonts w:ascii="Times New Roman" w:eastAsia="仿宋_GB2312" w:hAnsi="Times New Roman" w:cs="Times New Roman" w:hint="eastAsia"/>
          <w:sz w:val="32"/>
          <w:szCs w:val="32"/>
        </w:rPr>
        <w:t>服务，且</w:t>
      </w:r>
      <w:r w:rsidR="007E755D">
        <w:rPr>
          <w:rFonts w:ascii="Times New Roman" w:eastAsia="仿宋_GB2312" w:hAnsi="Times New Roman" w:cs="Times New Roman" w:hint="eastAsia"/>
          <w:sz w:val="32"/>
          <w:szCs w:val="32"/>
        </w:rPr>
        <w:t>ATA</w:t>
      </w:r>
      <w:r w:rsidR="007E755D">
        <w:rPr>
          <w:rFonts w:ascii="Times New Roman" w:eastAsia="仿宋_GB2312" w:hAnsi="Times New Roman" w:cs="Times New Roman" w:hint="eastAsia"/>
          <w:sz w:val="32"/>
          <w:szCs w:val="32"/>
        </w:rPr>
        <w:t>单证册</w:t>
      </w:r>
      <w:r w:rsidR="00837F59">
        <w:rPr>
          <w:rFonts w:ascii="Times New Roman" w:eastAsia="仿宋_GB2312" w:hAnsi="Times New Roman" w:cs="Times New Roman" w:hint="eastAsia"/>
          <w:sz w:val="32"/>
          <w:szCs w:val="32"/>
        </w:rPr>
        <w:t>号码应标注在</w:t>
      </w:r>
      <w:r w:rsidR="00837F59" w:rsidRPr="00837F59">
        <w:rPr>
          <w:rFonts w:ascii="Times New Roman" w:eastAsia="仿宋_GB2312" w:hAnsi="Times New Roman" w:cs="Times New Roman"/>
          <w:sz w:val="28"/>
          <w:szCs w:val="32"/>
        </w:rPr>
        <w:t>GVMS</w:t>
      </w:r>
      <w:r w:rsidR="00837F59">
        <w:rPr>
          <w:rFonts w:ascii="Times New Roman" w:eastAsia="仿宋_GB2312" w:hAnsi="Times New Roman" w:cs="Times New Roman" w:hint="eastAsia"/>
          <w:sz w:val="28"/>
          <w:szCs w:val="32"/>
        </w:rPr>
        <w:tab/>
      </w:r>
      <w:r w:rsidR="00837F59">
        <w:rPr>
          <w:rFonts w:ascii="Times New Roman" w:eastAsia="仿宋_GB2312" w:hAnsi="Times New Roman" w:cs="Times New Roman" w:hint="eastAsia"/>
          <w:sz w:val="28"/>
          <w:szCs w:val="32"/>
        </w:rPr>
        <w:tab/>
      </w:r>
      <w:r w:rsidR="00837F59">
        <w:rPr>
          <w:rFonts w:ascii="Times New Roman" w:eastAsia="仿宋_GB2312" w:hAnsi="Times New Roman" w:cs="Times New Roman" w:hint="eastAsia"/>
          <w:sz w:val="28"/>
          <w:szCs w:val="32"/>
        </w:rPr>
        <w:tab/>
      </w:r>
      <w:r w:rsidR="00837F59">
        <w:rPr>
          <w:rFonts w:ascii="Times New Roman" w:eastAsia="仿宋_GB2312" w:hAnsi="Times New Roman" w:cs="Times New Roman" w:hint="eastAsia"/>
          <w:sz w:val="28"/>
          <w:szCs w:val="32"/>
        </w:rPr>
        <w:tab/>
      </w:r>
      <w:r w:rsidR="00837F59">
        <w:rPr>
          <w:rFonts w:ascii="Times New Roman" w:eastAsia="仿宋_GB2312" w:hAnsi="Times New Roman" w:cs="Times New Roman" w:hint="eastAsia"/>
          <w:sz w:val="28"/>
          <w:szCs w:val="32"/>
        </w:rPr>
        <w:tab/>
        <w:t xml:space="preserve"> </w:t>
      </w:r>
      <w:r w:rsidR="00837F59" w:rsidRPr="00837F59">
        <w:rPr>
          <w:rFonts w:ascii="Times New Roman" w:eastAsia="仿宋_GB2312" w:hAnsi="Times New Roman" w:cs="Times New Roman" w:hint="eastAsia"/>
          <w:sz w:val="32"/>
          <w:szCs w:val="32"/>
        </w:rPr>
        <w:t>声明的申报参考栏</w:t>
      </w:r>
      <w:r w:rsidR="00837F59" w:rsidRPr="00837F59">
        <w:rPr>
          <w:rFonts w:ascii="Times New Roman" w:eastAsia="仿宋_GB2312" w:hAnsi="Times New Roman" w:cs="Times New Roman" w:hint="eastAsia"/>
          <w:sz w:val="28"/>
          <w:szCs w:val="32"/>
        </w:rPr>
        <w:t>（</w:t>
      </w:r>
      <w:r w:rsidR="00837F59" w:rsidRPr="00837F59">
        <w:rPr>
          <w:rFonts w:ascii="Times New Roman" w:hAnsi="Times New Roman" w:cs="Times New Roman"/>
          <w:sz w:val="32"/>
          <w:szCs w:val="21"/>
          <w:shd w:val="clear" w:color="auto" w:fill="FFFFFF"/>
        </w:rPr>
        <w:t>Declaration Reference</w:t>
      </w:r>
      <w:r w:rsidR="00837F59" w:rsidRPr="00837F59">
        <w:rPr>
          <w:rFonts w:ascii="Times New Roman" w:eastAsia="仿宋_GB2312" w:hAnsi="Times New Roman" w:cs="Times New Roman" w:hint="eastAsia"/>
          <w:sz w:val="28"/>
          <w:szCs w:val="32"/>
        </w:rPr>
        <w:t>）</w:t>
      </w:r>
      <w:r w:rsidR="006117F4">
        <w:rPr>
          <w:rFonts w:ascii="Times New Roman" w:eastAsia="仿宋_GB2312" w:hAnsi="Times New Roman" w:cs="Times New Roman" w:hint="eastAsia"/>
          <w:sz w:val="28"/>
          <w:szCs w:val="32"/>
        </w:rPr>
        <w:t>。</w:t>
      </w:r>
    </w:p>
    <w:p w:rsidR="00451A84" w:rsidRDefault="00267D72" w:rsidP="00451A84">
      <w:pPr>
        <w:tabs>
          <w:tab w:val="left" w:pos="420"/>
        </w:tabs>
        <w:ind w:left="18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ab/>
        <w:t xml:space="preserve"> </w:t>
      </w:r>
      <w:r w:rsidRPr="00267D72">
        <w:rPr>
          <w:rFonts w:ascii="仿宋_GB2312" w:eastAsia="仿宋_GB2312" w:hint="eastAsia"/>
          <w:sz w:val="32"/>
          <w:szCs w:val="32"/>
        </w:rPr>
        <w:t>对于</w:t>
      </w:r>
      <w:r>
        <w:rPr>
          <w:rFonts w:ascii="仿宋_GB2312" w:eastAsia="仿宋_GB2312" w:hint="eastAsia"/>
          <w:sz w:val="32"/>
          <w:szCs w:val="32"/>
        </w:rPr>
        <w:t>由</w:t>
      </w:r>
      <w:r w:rsidRPr="00267D72">
        <w:rPr>
          <w:rFonts w:ascii="仿宋_GB2312" w:eastAsia="仿宋_GB2312" w:hint="eastAsia"/>
          <w:sz w:val="32"/>
          <w:szCs w:val="32"/>
        </w:rPr>
        <w:t>个人或公司</w:t>
      </w:r>
      <w:r>
        <w:rPr>
          <w:rFonts w:ascii="仿宋_GB2312" w:eastAsia="仿宋_GB2312" w:hint="eastAsia"/>
          <w:sz w:val="32"/>
          <w:szCs w:val="32"/>
        </w:rPr>
        <w:t>运输的ATA单证册项下货</w:t>
      </w:r>
      <w:r>
        <w:rPr>
          <w:rFonts w:ascii="仿宋_GB2312" w:eastAsia="仿宋_GB2312" w:hint="eastAsia"/>
          <w:sz w:val="32"/>
          <w:szCs w:val="32"/>
        </w:rPr>
        <w:tab/>
        <w:t xml:space="preserve"> 物，车辆</w:t>
      </w:r>
      <w:r w:rsidRPr="00267D72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离开或</w:t>
      </w:r>
      <w:r w:rsidRPr="00267D72">
        <w:rPr>
          <w:rFonts w:ascii="仿宋_GB2312" w:eastAsia="仿宋_GB2312" w:hint="eastAsia"/>
          <w:sz w:val="32"/>
          <w:szCs w:val="32"/>
        </w:rPr>
        <w:t>返回英国</w:t>
      </w:r>
      <w:r>
        <w:rPr>
          <w:rFonts w:ascii="仿宋_GB2312" w:eastAsia="仿宋_GB2312" w:hint="eastAsia"/>
          <w:sz w:val="32"/>
          <w:szCs w:val="32"/>
        </w:rPr>
        <w:t>时</w:t>
      </w:r>
      <w:r w:rsidRPr="00267D72">
        <w:rPr>
          <w:rFonts w:ascii="仿宋_GB2312" w:eastAsia="仿宋_GB2312" w:hint="eastAsia"/>
          <w:sz w:val="32"/>
          <w:szCs w:val="32"/>
        </w:rPr>
        <w:t>也需要</w:t>
      </w:r>
      <w:r w:rsidR="00451A84">
        <w:rPr>
          <w:rFonts w:ascii="仿宋_GB2312" w:eastAsia="仿宋_GB2312" w:hint="eastAsia"/>
          <w:sz w:val="32"/>
          <w:szCs w:val="32"/>
        </w:rPr>
        <w:t>提供货</w:t>
      </w:r>
      <w:r w:rsidR="00451A84">
        <w:rPr>
          <w:rFonts w:ascii="仿宋_GB2312" w:eastAsia="仿宋_GB2312" w:hint="eastAsia"/>
          <w:sz w:val="32"/>
          <w:szCs w:val="32"/>
        </w:rPr>
        <w:tab/>
        <w:t xml:space="preserve"> 物运输</w:t>
      </w:r>
      <w:r w:rsidRPr="00267D72">
        <w:rPr>
          <w:rFonts w:ascii="仿宋_GB2312" w:eastAsia="仿宋_GB2312" w:hint="eastAsia"/>
          <w:sz w:val="32"/>
          <w:szCs w:val="32"/>
        </w:rPr>
        <w:t>参</w:t>
      </w:r>
      <w:r w:rsidRPr="00267D72">
        <w:rPr>
          <w:rFonts w:ascii="仿宋_GB2312" w:eastAsia="仿宋_GB2312" w:hint="eastAsia"/>
          <w:color w:val="000000"/>
          <w:sz w:val="32"/>
          <w:szCs w:val="32"/>
        </w:rPr>
        <w:t>考</w:t>
      </w:r>
      <w:r w:rsidR="00451A84">
        <w:rPr>
          <w:rFonts w:ascii="仿宋_GB2312" w:eastAsia="仿宋_GB2312" w:hint="eastAsia"/>
          <w:color w:val="000000"/>
          <w:sz w:val="32"/>
          <w:szCs w:val="32"/>
        </w:rPr>
        <w:t>（以下简称“GMR”）</w:t>
      </w:r>
      <w:r w:rsidRPr="00267D72">
        <w:rPr>
          <w:rFonts w:ascii="仿宋_GB2312" w:eastAsia="仿宋_GB2312" w:hint="eastAsia"/>
          <w:color w:val="000000"/>
          <w:sz w:val="32"/>
          <w:szCs w:val="32"/>
        </w:rPr>
        <w:t>。由承运人</w:t>
      </w:r>
      <w:r w:rsidR="00451A84">
        <w:rPr>
          <w:rFonts w:ascii="仿宋_GB2312" w:eastAsia="仿宋_GB2312" w:hint="eastAsia"/>
          <w:color w:val="000000"/>
          <w:sz w:val="32"/>
          <w:szCs w:val="32"/>
        </w:rPr>
        <w:tab/>
      </w:r>
      <w:r w:rsidR="00451A84">
        <w:rPr>
          <w:rFonts w:ascii="仿宋_GB2312" w:eastAsia="仿宋_GB2312" w:hint="eastAsia"/>
          <w:color w:val="000000"/>
          <w:sz w:val="32"/>
          <w:szCs w:val="32"/>
        </w:rPr>
        <w:tab/>
        <w:t xml:space="preserve"> </w:t>
      </w:r>
      <w:r w:rsidRPr="00267D72">
        <w:rPr>
          <w:rFonts w:ascii="仿宋_GB2312" w:eastAsia="仿宋_GB2312" w:hint="eastAsia"/>
          <w:color w:val="000000"/>
          <w:sz w:val="32"/>
          <w:szCs w:val="32"/>
        </w:rPr>
        <w:t>运输的货物，GMR将由货运代理获得。以个</w:t>
      </w:r>
      <w:r w:rsidR="00451A84">
        <w:rPr>
          <w:rFonts w:ascii="仿宋_GB2312" w:eastAsia="仿宋_GB2312" w:hint="eastAsia"/>
          <w:color w:val="000000"/>
          <w:sz w:val="32"/>
          <w:szCs w:val="32"/>
        </w:rPr>
        <w:tab/>
        <w:t xml:space="preserve"> </w:t>
      </w:r>
      <w:r w:rsidRPr="00267D72">
        <w:rPr>
          <w:rFonts w:ascii="仿宋_GB2312" w:eastAsia="仿宋_GB2312" w:hint="eastAsia"/>
          <w:color w:val="000000"/>
          <w:sz w:val="32"/>
          <w:szCs w:val="32"/>
        </w:rPr>
        <w:t>人或公司车辆运输货物的，可通过联系伦敦</w:t>
      </w:r>
      <w:r w:rsidR="00451A84">
        <w:rPr>
          <w:rFonts w:ascii="仿宋_GB2312" w:eastAsia="仿宋_GB2312" w:hint="eastAsia"/>
          <w:color w:val="000000"/>
          <w:sz w:val="32"/>
          <w:szCs w:val="32"/>
        </w:rPr>
        <w:tab/>
        <w:t xml:space="preserve"> </w:t>
      </w:r>
      <w:r w:rsidRPr="00267D72">
        <w:rPr>
          <w:rFonts w:ascii="仿宋_GB2312" w:eastAsia="仿宋_GB2312" w:hint="eastAsia"/>
          <w:color w:val="000000"/>
          <w:sz w:val="32"/>
          <w:szCs w:val="32"/>
        </w:rPr>
        <w:t>工商会取得有关货物的GMR，详见如下链接:</w:t>
      </w:r>
    </w:p>
    <w:p w:rsidR="00A20698" w:rsidRDefault="00267D72" w:rsidP="00267D72">
      <w:pPr>
        <w:tabs>
          <w:tab w:val="left" w:pos="420"/>
        </w:tabs>
        <w:ind w:left="18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ab/>
      </w:r>
      <w:r w:rsidRPr="00267D72">
        <w:rPr>
          <w:rFonts w:ascii="Times New Roman" w:eastAsia="仿宋_GB2312" w:hAnsi="Times New Roman" w:cs="Times New Roman"/>
          <w:color w:val="000000"/>
          <w:sz w:val="32"/>
          <w:szCs w:val="32"/>
        </w:rPr>
        <w:t>https://www.londonchamber.co.uk/international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 w:rsidRPr="00267D72">
        <w:rPr>
          <w:rFonts w:ascii="Times New Roman" w:eastAsia="仿宋_GB2312" w:hAnsi="Times New Roman" w:cs="Times New Roman"/>
          <w:color w:val="000000"/>
          <w:sz w:val="32"/>
          <w:szCs w:val="32"/>
        </w:rPr>
        <w:t>-trade/trade-documentation/customs-declaration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ab/>
      </w:r>
      <w:r w:rsidRPr="00267D72">
        <w:rPr>
          <w:rFonts w:ascii="Times New Roman" w:eastAsia="仿宋_GB2312" w:hAnsi="Times New Roman" w:cs="Times New Roman"/>
          <w:color w:val="000000"/>
          <w:sz w:val="32"/>
          <w:szCs w:val="32"/>
        </w:rPr>
        <w:t>s/gmr-service-request/</w:t>
      </w:r>
    </w:p>
    <w:p w:rsidR="00386B56" w:rsidRDefault="00387611" w:rsidP="00267D72">
      <w:pPr>
        <w:tabs>
          <w:tab w:val="left" w:pos="420"/>
        </w:tabs>
        <w:ind w:left="18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由于</w:t>
      </w:r>
      <w:r w:rsidRPr="00386B5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法国海关在客运码头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不提供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ATA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单证册清关手续</w:t>
      </w:r>
      <w:r w:rsidR="00844A83" w:rsidRPr="00386B5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(</w:t>
      </w:r>
      <w:r w:rsidR="00B3228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运输的货物</w:t>
      </w:r>
      <w:r w:rsidR="00844A83" w:rsidRPr="00386B5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需要进入货运码头</w:t>
      </w:r>
      <w:r w:rsidR="00844A83" w:rsidRPr="00386B5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E4717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通过加来</w:t>
      </w:r>
      <w:r w:rsidR="00386B5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英法海底隧道摆渡列车</w:t>
      </w:r>
      <w:r w:rsidR="00386B56" w:rsidRPr="00386B5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前往英国的私人轿车和面包车需要到货运码头</w:t>
      </w:r>
      <w:r w:rsidR="00AF7D0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对</w:t>
      </w:r>
      <w:r w:rsidR="00AF7D0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ATA</w:t>
      </w:r>
      <w:r w:rsidR="00AF7D0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单证册</w:t>
      </w:r>
      <w:r w:rsidR="00386B56" w:rsidRPr="00386B5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盖</w:t>
      </w:r>
      <w:r w:rsidR="00844A8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章</w:t>
      </w:r>
      <w:r w:rsidR="00386B56" w:rsidRPr="00386B5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:rsidR="00E67206" w:rsidRDefault="00BB7AEC" w:rsidP="00267D72">
      <w:pPr>
        <w:tabs>
          <w:tab w:val="left" w:pos="420"/>
        </w:tabs>
        <w:ind w:left="1843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BB7AE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（2）</w:t>
      </w:r>
      <w:r w:rsidR="006B036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关于哈威奇港（</w:t>
      </w:r>
      <w:r w:rsidR="006B0361" w:rsidRPr="006B0361">
        <w:rPr>
          <w:rStyle w:val="a7"/>
          <w:rFonts w:ascii="Times New Roman" w:hAnsi="Times New Roman" w:cs="Times New Roman"/>
          <w:b w:val="0"/>
          <w:color w:val="333333"/>
          <w:sz w:val="32"/>
          <w:shd w:val="clear" w:color="auto" w:fill="FFFFFF"/>
        </w:rPr>
        <w:t>Harwich Port</w:t>
      </w:r>
      <w:r w:rsidR="006B036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）清关手续的规定。如货车拟在哈威奇港（</w:t>
      </w:r>
      <w:r w:rsidR="006B0361" w:rsidRPr="006B0361">
        <w:rPr>
          <w:rStyle w:val="a7"/>
          <w:rFonts w:ascii="Times New Roman" w:hAnsi="Times New Roman" w:cs="Times New Roman"/>
          <w:b w:val="0"/>
          <w:color w:val="333333"/>
          <w:sz w:val="32"/>
          <w:shd w:val="clear" w:color="auto" w:fill="FFFFFF"/>
        </w:rPr>
        <w:t>Harwich Port</w:t>
      </w:r>
      <w:r w:rsidR="006B036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）通关，需在到达港口前提交清关申请。货运代理如无英国海关系统的登录权限，则可通过访</w:t>
      </w:r>
      <w:r w:rsidR="006B036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问英国海关官网在线填制C21表格进行申报。C21表格链接为：</w:t>
      </w:r>
    </w:p>
    <w:p w:rsidR="00BB7AEC" w:rsidRDefault="006B0361" w:rsidP="00267D72">
      <w:pPr>
        <w:tabs>
          <w:tab w:val="left" w:pos="420"/>
        </w:tabs>
        <w:ind w:left="1843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6B0361">
        <w:rPr>
          <w:rFonts w:ascii="Times New Roman" w:eastAsia="仿宋_GB2312" w:hAnsi="Times New Roman" w:cs="Times New Roman"/>
          <w:color w:val="000000"/>
          <w:sz w:val="32"/>
          <w:szCs w:val="32"/>
        </w:rPr>
        <w:t>https://public-online.hmrc.gov.uk/lc/content/xfaforms/profiles/forms.html?contentRoot=repository:///Applications/Customs_A/1.0/C21&amp;template=C21.xdp</w:t>
      </w:r>
    </w:p>
    <w:p w:rsidR="00FA50FF" w:rsidRPr="00BB7AEC" w:rsidRDefault="00FA50FF" w:rsidP="00267D72">
      <w:pPr>
        <w:tabs>
          <w:tab w:val="left" w:pos="420"/>
        </w:tabs>
        <w:ind w:left="18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此规定不适用于在加来港（</w:t>
      </w:r>
      <w:r w:rsidRPr="00FA50F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Calais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）和敦刻尔克港（</w:t>
      </w:r>
      <w:r w:rsidRPr="00FA50F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Dunkerque 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）清关的货物。</w:t>
      </w:r>
    </w:p>
    <w:sectPr w:rsidR="00FA50FF" w:rsidRPr="00BB7AEC" w:rsidSect="003E511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19B" w:rsidRDefault="00EA119B" w:rsidP="00C64D52">
      <w:r>
        <w:separator/>
      </w:r>
    </w:p>
  </w:endnote>
  <w:endnote w:type="continuationSeparator" w:id="1">
    <w:p w:rsidR="00EA119B" w:rsidRDefault="00EA119B" w:rsidP="00C64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21892"/>
      <w:docPartObj>
        <w:docPartGallery w:val="Page Numbers (Bottom of Page)"/>
        <w:docPartUnique/>
      </w:docPartObj>
    </w:sdtPr>
    <w:sdtContent>
      <w:p w:rsidR="00CC6B27" w:rsidRDefault="00400356">
        <w:pPr>
          <w:pStyle w:val="a3"/>
          <w:jc w:val="right"/>
        </w:pPr>
        <w:r w:rsidRPr="00CC6B27">
          <w:rPr>
            <w:rFonts w:asciiTheme="minorEastAsia" w:hAnsiTheme="minorEastAsia"/>
            <w:sz w:val="28"/>
            <w:szCs w:val="28"/>
          </w:rPr>
          <w:fldChar w:fldCharType="begin"/>
        </w:r>
        <w:r w:rsidR="00CC6B27" w:rsidRPr="00CC6B27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CC6B27">
          <w:rPr>
            <w:rFonts w:asciiTheme="minorEastAsia" w:hAnsiTheme="minorEastAsia"/>
            <w:sz w:val="28"/>
            <w:szCs w:val="28"/>
          </w:rPr>
          <w:fldChar w:fldCharType="separate"/>
        </w:r>
        <w:r w:rsidR="00BD14A8" w:rsidRPr="00BD14A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D14A8">
          <w:rPr>
            <w:rFonts w:asciiTheme="minorEastAsia" w:hAnsiTheme="minorEastAsia"/>
            <w:noProof/>
            <w:sz w:val="28"/>
            <w:szCs w:val="28"/>
          </w:rPr>
          <w:t xml:space="preserve"> 4 -</w:t>
        </w:r>
        <w:r w:rsidRPr="00CC6B2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C6B27" w:rsidRDefault="00CC6B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19B" w:rsidRDefault="00EA119B" w:rsidP="00C64D52">
      <w:r>
        <w:separator/>
      </w:r>
    </w:p>
  </w:footnote>
  <w:footnote w:type="continuationSeparator" w:id="1">
    <w:p w:rsidR="00EA119B" w:rsidRDefault="00EA119B" w:rsidP="00C64D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ED7"/>
    <w:multiLevelType w:val="multilevel"/>
    <w:tmpl w:val="19947ED7"/>
    <w:lvl w:ilvl="0">
      <w:start w:val="3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2FAF78E3"/>
    <w:multiLevelType w:val="multilevel"/>
    <w:tmpl w:val="8ADA4E6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color w:val="auto"/>
      </w:r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C677E2C"/>
    <w:multiLevelType w:val="multilevel"/>
    <w:tmpl w:val="57D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82F"/>
    <w:rsid w:val="00014996"/>
    <w:rsid w:val="0002357C"/>
    <w:rsid w:val="0002485E"/>
    <w:rsid w:val="00030F9E"/>
    <w:rsid w:val="000326E6"/>
    <w:rsid w:val="000327DE"/>
    <w:rsid w:val="000403D4"/>
    <w:rsid w:val="000442FD"/>
    <w:rsid w:val="00053A31"/>
    <w:rsid w:val="00054811"/>
    <w:rsid w:val="00057A11"/>
    <w:rsid w:val="00066BE6"/>
    <w:rsid w:val="00075EC9"/>
    <w:rsid w:val="0008199E"/>
    <w:rsid w:val="00090020"/>
    <w:rsid w:val="00094519"/>
    <w:rsid w:val="000A2D26"/>
    <w:rsid w:val="000A3B6F"/>
    <w:rsid w:val="000A79BF"/>
    <w:rsid w:val="000A7E98"/>
    <w:rsid w:val="000B249A"/>
    <w:rsid w:val="000C1BEB"/>
    <w:rsid w:val="000D26D4"/>
    <w:rsid w:val="000D3B25"/>
    <w:rsid w:val="000D3C59"/>
    <w:rsid w:val="000D5ABC"/>
    <w:rsid w:val="000E188B"/>
    <w:rsid w:val="000E1BF0"/>
    <w:rsid w:val="000F1458"/>
    <w:rsid w:val="000F313C"/>
    <w:rsid w:val="000F42BB"/>
    <w:rsid w:val="0010094D"/>
    <w:rsid w:val="001050DC"/>
    <w:rsid w:val="0010639B"/>
    <w:rsid w:val="00112E39"/>
    <w:rsid w:val="00113523"/>
    <w:rsid w:val="001139D1"/>
    <w:rsid w:val="00132459"/>
    <w:rsid w:val="00133033"/>
    <w:rsid w:val="001648DF"/>
    <w:rsid w:val="00170EE2"/>
    <w:rsid w:val="0017126E"/>
    <w:rsid w:val="001755AE"/>
    <w:rsid w:val="00181BB9"/>
    <w:rsid w:val="001933F0"/>
    <w:rsid w:val="001B2BD9"/>
    <w:rsid w:val="001B3C02"/>
    <w:rsid w:val="001E5349"/>
    <w:rsid w:val="001E69AA"/>
    <w:rsid w:val="001F33A8"/>
    <w:rsid w:val="0021353F"/>
    <w:rsid w:val="00231826"/>
    <w:rsid w:val="002355F3"/>
    <w:rsid w:val="00236144"/>
    <w:rsid w:val="00253988"/>
    <w:rsid w:val="00255B78"/>
    <w:rsid w:val="002677E2"/>
    <w:rsid w:val="00267D29"/>
    <w:rsid w:val="00267D72"/>
    <w:rsid w:val="002717A8"/>
    <w:rsid w:val="00277476"/>
    <w:rsid w:val="00280026"/>
    <w:rsid w:val="00291112"/>
    <w:rsid w:val="00296D88"/>
    <w:rsid w:val="002A1C11"/>
    <w:rsid w:val="002B4302"/>
    <w:rsid w:val="002B52EC"/>
    <w:rsid w:val="002B71A3"/>
    <w:rsid w:val="002C3839"/>
    <w:rsid w:val="002D0C13"/>
    <w:rsid w:val="002D3F9F"/>
    <w:rsid w:val="002E0636"/>
    <w:rsid w:val="002E682F"/>
    <w:rsid w:val="002E7A74"/>
    <w:rsid w:val="002F051C"/>
    <w:rsid w:val="00300E6F"/>
    <w:rsid w:val="00303B90"/>
    <w:rsid w:val="003107BD"/>
    <w:rsid w:val="003217AC"/>
    <w:rsid w:val="00336C7C"/>
    <w:rsid w:val="00346C58"/>
    <w:rsid w:val="00350CDF"/>
    <w:rsid w:val="003523A3"/>
    <w:rsid w:val="00375BDF"/>
    <w:rsid w:val="00376642"/>
    <w:rsid w:val="00377F71"/>
    <w:rsid w:val="00386B56"/>
    <w:rsid w:val="00387611"/>
    <w:rsid w:val="00390F8D"/>
    <w:rsid w:val="0039137C"/>
    <w:rsid w:val="003A037E"/>
    <w:rsid w:val="003A3734"/>
    <w:rsid w:val="003A63C9"/>
    <w:rsid w:val="003B3B67"/>
    <w:rsid w:val="003B7383"/>
    <w:rsid w:val="003C099A"/>
    <w:rsid w:val="003C3837"/>
    <w:rsid w:val="003D5285"/>
    <w:rsid w:val="003E5118"/>
    <w:rsid w:val="003F13C6"/>
    <w:rsid w:val="00400356"/>
    <w:rsid w:val="0041421C"/>
    <w:rsid w:val="00415715"/>
    <w:rsid w:val="00430949"/>
    <w:rsid w:val="00432D24"/>
    <w:rsid w:val="004371E2"/>
    <w:rsid w:val="0044429D"/>
    <w:rsid w:val="00445A03"/>
    <w:rsid w:val="0044630A"/>
    <w:rsid w:val="00451A84"/>
    <w:rsid w:val="004546C2"/>
    <w:rsid w:val="0047009E"/>
    <w:rsid w:val="00471CA9"/>
    <w:rsid w:val="004733EF"/>
    <w:rsid w:val="00481DD5"/>
    <w:rsid w:val="0048599A"/>
    <w:rsid w:val="00487FC3"/>
    <w:rsid w:val="004A3C69"/>
    <w:rsid w:val="004A3D90"/>
    <w:rsid w:val="004A6251"/>
    <w:rsid w:val="004A6A84"/>
    <w:rsid w:val="004B14D2"/>
    <w:rsid w:val="004B3D4F"/>
    <w:rsid w:val="004B7238"/>
    <w:rsid w:val="004C4D1B"/>
    <w:rsid w:val="004D0CE6"/>
    <w:rsid w:val="004D73C0"/>
    <w:rsid w:val="004F6B02"/>
    <w:rsid w:val="00510789"/>
    <w:rsid w:val="00512597"/>
    <w:rsid w:val="005173D9"/>
    <w:rsid w:val="0052501A"/>
    <w:rsid w:val="0052719E"/>
    <w:rsid w:val="00534A58"/>
    <w:rsid w:val="005364BD"/>
    <w:rsid w:val="00543C44"/>
    <w:rsid w:val="005458F4"/>
    <w:rsid w:val="00545D61"/>
    <w:rsid w:val="005617E4"/>
    <w:rsid w:val="00564DC3"/>
    <w:rsid w:val="00573015"/>
    <w:rsid w:val="0057319B"/>
    <w:rsid w:val="00583640"/>
    <w:rsid w:val="005879B1"/>
    <w:rsid w:val="00596001"/>
    <w:rsid w:val="005967F1"/>
    <w:rsid w:val="005B5E82"/>
    <w:rsid w:val="005C1BA7"/>
    <w:rsid w:val="005C611B"/>
    <w:rsid w:val="005D0F3A"/>
    <w:rsid w:val="005D453E"/>
    <w:rsid w:val="005D7399"/>
    <w:rsid w:val="005E1A49"/>
    <w:rsid w:val="005E7CB1"/>
    <w:rsid w:val="005F4364"/>
    <w:rsid w:val="005F6882"/>
    <w:rsid w:val="006117F4"/>
    <w:rsid w:val="006120FA"/>
    <w:rsid w:val="0061411E"/>
    <w:rsid w:val="00615617"/>
    <w:rsid w:val="00616270"/>
    <w:rsid w:val="006176F0"/>
    <w:rsid w:val="00643333"/>
    <w:rsid w:val="00644F26"/>
    <w:rsid w:val="006475C7"/>
    <w:rsid w:val="00653534"/>
    <w:rsid w:val="00674591"/>
    <w:rsid w:val="0067607C"/>
    <w:rsid w:val="00680203"/>
    <w:rsid w:val="006A046A"/>
    <w:rsid w:val="006A5BA7"/>
    <w:rsid w:val="006B0361"/>
    <w:rsid w:val="006B4B68"/>
    <w:rsid w:val="006C21BB"/>
    <w:rsid w:val="006C57FC"/>
    <w:rsid w:val="006E3368"/>
    <w:rsid w:val="006F0EC6"/>
    <w:rsid w:val="007021CF"/>
    <w:rsid w:val="00717BF4"/>
    <w:rsid w:val="007407B3"/>
    <w:rsid w:val="00741238"/>
    <w:rsid w:val="00741450"/>
    <w:rsid w:val="00742470"/>
    <w:rsid w:val="00742A1B"/>
    <w:rsid w:val="00752139"/>
    <w:rsid w:val="00753A73"/>
    <w:rsid w:val="0076008F"/>
    <w:rsid w:val="007716DA"/>
    <w:rsid w:val="00772384"/>
    <w:rsid w:val="00773680"/>
    <w:rsid w:val="007768DE"/>
    <w:rsid w:val="00786E27"/>
    <w:rsid w:val="007A0294"/>
    <w:rsid w:val="007B13FE"/>
    <w:rsid w:val="007B28C1"/>
    <w:rsid w:val="007D0675"/>
    <w:rsid w:val="007D6281"/>
    <w:rsid w:val="007E6ACB"/>
    <w:rsid w:val="007E755D"/>
    <w:rsid w:val="007F0330"/>
    <w:rsid w:val="007F060F"/>
    <w:rsid w:val="007F0A9A"/>
    <w:rsid w:val="007F12F3"/>
    <w:rsid w:val="007F4536"/>
    <w:rsid w:val="00802992"/>
    <w:rsid w:val="00804870"/>
    <w:rsid w:val="00807A53"/>
    <w:rsid w:val="00827819"/>
    <w:rsid w:val="00830928"/>
    <w:rsid w:val="0083535E"/>
    <w:rsid w:val="008377F1"/>
    <w:rsid w:val="00837F59"/>
    <w:rsid w:val="00844A83"/>
    <w:rsid w:val="0084786C"/>
    <w:rsid w:val="00855E13"/>
    <w:rsid w:val="00867CCF"/>
    <w:rsid w:val="00887FCB"/>
    <w:rsid w:val="00892E88"/>
    <w:rsid w:val="00892F5E"/>
    <w:rsid w:val="0089424E"/>
    <w:rsid w:val="008A0A5C"/>
    <w:rsid w:val="008A2417"/>
    <w:rsid w:val="008A6AB4"/>
    <w:rsid w:val="008B2A84"/>
    <w:rsid w:val="008B2E79"/>
    <w:rsid w:val="008C0E10"/>
    <w:rsid w:val="008C4795"/>
    <w:rsid w:val="008C5602"/>
    <w:rsid w:val="008C66A9"/>
    <w:rsid w:val="008D578E"/>
    <w:rsid w:val="008E00B7"/>
    <w:rsid w:val="008F2224"/>
    <w:rsid w:val="0090419F"/>
    <w:rsid w:val="009136AE"/>
    <w:rsid w:val="0092752B"/>
    <w:rsid w:val="00927F17"/>
    <w:rsid w:val="00937F72"/>
    <w:rsid w:val="009424FB"/>
    <w:rsid w:val="00956B2D"/>
    <w:rsid w:val="00965610"/>
    <w:rsid w:val="0097301F"/>
    <w:rsid w:val="00975E40"/>
    <w:rsid w:val="009845CE"/>
    <w:rsid w:val="00992039"/>
    <w:rsid w:val="009A650B"/>
    <w:rsid w:val="009B20A7"/>
    <w:rsid w:val="009B7A9F"/>
    <w:rsid w:val="009C5A7C"/>
    <w:rsid w:val="009E1BFE"/>
    <w:rsid w:val="009E1FA7"/>
    <w:rsid w:val="009E5872"/>
    <w:rsid w:val="009E6C96"/>
    <w:rsid w:val="009F0741"/>
    <w:rsid w:val="009F5A79"/>
    <w:rsid w:val="00A20698"/>
    <w:rsid w:val="00A33CEA"/>
    <w:rsid w:val="00A4612B"/>
    <w:rsid w:val="00A574C3"/>
    <w:rsid w:val="00A57AD4"/>
    <w:rsid w:val="00A57F30"/>
    <w:rsid w:val="00A65E34"/>
    <w:rsid w:val="00A67484"/>
    <w:rsid w:val="00A719A8"/>
    <w:rsid w:val="00A779A3"/>
    <w:rsid w:val="00A9136A"/>
    <w:rsid w:val="00A93DF3"/>
    <w:rsid w:val="00AA4561"/>
    <w:rsid w:val="00AB33FD"/>
    <w:rsid w:val="00AD2213"/>
    <w:rsid w:val="00AD545F"/>
    <w:rsid w:val="00AD5848"/>
    <w:rsid w:val="00AE5041"/>
    <w:rsid w:val="00AE7027"/>
    <w:rsid w:val="00AF2E3D"/>
    <w:rsid w:val="00AF7D04"/>
    <w:rsid w:val="00B1037A"/>
    <w:rsid w:val="00B1500C"/>
    <w:rsid w:val="00B16806"/>
    <w:rsid w:val="00B175CA"/>
    <w:rsid w:val="00B2121A"/>
    <w:rsid w:val="00B2685D"/>
    <w:rsid w:val="00B32280"/>
    <w:rsid w:val="00B34FCD"/>
    <w:rsid w:val="00B4088C"/>
    <w:rsid w:val="00B4356C"/>
    <w:rsid w:val="00B47CB2"/>
    <w:rsid w:val="00B6729B"/>
    <w:rsid w:val="00B728DA"/>
    <w:rsid w:val="00B745A1"/>
    <w:rsid w:val="00B77893"/>
    <w:rsid w:val="00BA0C99"/>
    <w:rsid w:val="00BA199B"/>
    <w:rsid w:val="00BA651F"/>
    <w:rsid w:val="00BB51B9"/>
    <w:rsid w:val="00BB7AEC"/>
    <w:rsid w:val="00BC442D"/>
    <w:rsid w:val="00BD14A8"/>
    <w:rsid w:val="00BD3DB1"/>
    <w:rsid w:val="00BD4A74"/>
    <w:rsid w:val="00BD570B"/>
    <w:rsid w:val="00BE5446"/>
    <w:rsid w:val="00BF4A64"/>
    <w:rsid w:val="00BF4CF3"/>
    <w:rsid w:val="00C00F52"/>
    <w:rsid w:val="00C0107B"/>
    <w:rsid w:val="00C108A1"/>
    <w:rsid w:val="00C14F72"/>
    <w:rsid w:val="00C2679E"/>
    <w:rsid w:val="00C307DB"/>
    <w:rsid w:val="00C50594"/>
    <w:rsid w:val="00C51E18"/>
    <w:rsid w:val="00C55244"/>
    <w:rsid w:val="00C6189A"/>
    <w:rsid w:val="00C64D52"/>
    <w:rsid w:val="00C7297F"/>
    <w:rsid w:val="00C84352"/>
    <w:rsid w:val="00C923E6"/>
    <w:rsid w:val="00CA11CC"/>
    <w:rsid w:val="00CB40F9"/>
    <w:rsid w:val="00CC6B27"/>
    <w:rsid w:val="00CD0C03"/>
    <w:rsid w:val="00CD24A6"/>
    <w:rsid w:val="00CF01ED"/>
    <w:rsid w:val="00D2061C"/>
    <w:rsid w:val="00D30D0F"/>
    <w:rsid w:val="00D33EE5"/>
    <w:rsid w:val="00D36F11"/>
    <w:rsid w:val="00D4650C"/>
    <w:rsid w:val="00D52129"/>
    <w:rsid w:val="00D55F2B"/>
    <w:rsid w:val="00D57B1D"/>
    <w:rsid w:val="00D57FB4"/>
    <w:rsid w:val="00D60786"/>
    <w:rsid w:val="00D67F29"/>
    <w:rsid w:val="00D744F0"/>
    <w:rsid w:val="00D7600E"/>
    <w:rsid w:val="00D874CA"/>
    <w:rsid w:val="00D94E56"/>
    <w:rsid w:val="00DA4CC5"/>
    <w:rsid w:val="00DC4547"/>
    <w:rsid w:val="00DD0F7B"/>
    <w:rsid w:val="00DD14D4"/>
    <w:rsid w:val="00DD62D6"/>
    <w:rsid w:val="00DE0249"/>
    <w:rsid w:val="00E01E4D"/>
    <w:rsid w:val="00E15B67"/>
    <w:rsid w:val="00E17FEB"/>
    <w:rsid w:val="00E226DF"/>
    <w:rsid w:val="00E24799"/>
    <w:rsid w:val="00E3641E"/>
    <w:rsid w:val="00E3687E"/>
    <w:rsid w:val="00E4494A"/>
    <w:rsid w:val="00E4580D"/>
    <w:rsid w:val="00E4661D"/>
    <w:rsid w:val="00E466E9"/>
    <w:rsid w:val="00E47178"/>
    <w:rsid w:val="00E50212"/>
    <w:rsid w:val="00E56740"/>
    <w:rsid w:val="00E629C0"/>
    <w:rsid w:val="00E64B62"/>
    <w:rsid w:val="00E67206"/>
    <w:rsid w:val="00E701BF"/>
    <w:rsid w:val="00E77C71"/>
    <w:rsid w:val="00E82C1E"/>
    <w:rsid w:val="00E83437"/>
    <w:rsid w:val="00E841D3"/>
    <w:rsid w:val="00EA0811"/>
    <w:rsid w:val="00EA119B"/>
    <w:rsid w:val="00EA47C0"/>
    <w:rsid w:val="00EB04C2"/>
    <w:rsid w:val="00EB10DA"/>
    <w:rsid w:val="00ED5BBC"/>
    <w:rsid w:val="00EE024A"/>
    <w:rsid w:val="00EE406E"/>
    <w:rsid w:val="00F15EC6"/>
    <w:rsid w:val="00F2799E"/>
    <w:rsid w:val="00F34A82"/>
    <w:rsid w:val="00F41CEE"/>
    <w:rsid w:val="00F42770"/>
    <w:rsid w:val="00F52B34"/>
    <w:rsid w:val="00F566B7"/>
    <w:rsid w:val="00F60C6D"/>
    <w:rsid w:val="00F62559"/>
    <w:rsid w:val="00F6762D"/>
    <w:rsid w:val="00F764F4"/>
    <w:rsid w:val="00F82AC8"/>
    <w:rsid w:val="00F851C5"/>
    <w:rsid w:val="00F964E1"/>
    <w:rsid w:val="00F96853"/>
    <w:rsid w:val="00FA2CA0"/>
    <w:rsid w:val="00FA3352"/>
    <w:rsid w:val="00FA50FF"/>
    <w:rsid w:val="00FB2475"/>
    <w:rsid w:val="00FB4300"/>
    <w:rsid w:val="00FD0CB7"/>
    <w:rsid w:val="00FD6D4E"/>
    <w:rsid w:val="00FD74A2"/>
    <w:rsid w:val="00FE1938"/>
    <w:rsid w:val="00FE358C"/>
    <w:rsid w:val="0D2426F6"/>
    <w:rsid w:val="11B95E02"/>
    <w:rsid w:val="4397031F"/>
    <w:rsid w:val="4CF35B59"/>
    <w:rsid w:val="4F895021"/>
    <w:rsid w:val="53BA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27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27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2781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278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4D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4D52"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rsid w:val="0013303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99"/>
    <w:rsid w:val="00E64B62"/>
    <w:pPr>
      <w:ind w:firstLineChars="200" w:firstLine="420"/>
    </w:pPr>
  </w:style>
  <w:style w:type="character" w:styleId="a7">
    <w:name w:val="Strong"/>
    <w:basedOn w:val="a0"/>
    <w:uiPriority w:val="22"/>
    <w:qFormat/>
    <w:rsid w:val="006B03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宁培:会签单位处室会签</cp:lastModifiedBy>
  <cp:revision>97</cp:revision>
  <cp:lastPrinted>2022-09-13T02:14:00Z</cp:lastPrinted>
  <dcterms:created xsi:type="dcterms:W3CDTF">2022-07-08T03:21:00Z</dcterms:created>
  <dcterms:modified xsi:type="dcterms:W3CDTF">2022-09-13T06:28:00Z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0AD2BD88A87F47DC80C5AF3AB2DAD5D0</vt:lpwstr>
  </property>
</Properties>
</file>